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2E" w:rsidRDefault="00FB2A14" w:rsidP="00FB2A14">
      <w:pPr>
        <w:pStyle w:val="Titolo"/>
      </w:pPr>
      <w:r>
        <w:t xml:space="preserve">Dal Green Deal europeo alla strategia Farm to </w:t>
      </w:r>
      <w:proofErr w:type="spellStart"/>
      <w:r>
        <w:t>Fork</w:t>
      </w:r>
      <w:proofErr w:type="spellEnd"/>
    </w:p>
    <w:p w:rsidR="00FB2A14" w:rsidRDefault="00FB2A14"/>
    <w:p w:rsidR="00FB2A14" w:rsidRDefault="00FB2A14">
      <w:r>
        <w:t xml:space="preserve">Dal Green Deal europeo alla strategia “Farm to </w:t>
      </w:r>
      <w:proofErr w:type="spellStart"/>
      <w:r>
        <w:t>Fork</w:t>
      </w:r>
      <w:proofErr w:type="spellEnd"/>
      <w:r>
        <w:t>” il passo è breve.</w:t>
      </w:r>
    </w:p>
    <w:p w:rsidR="00FB2A14" w:rsidRDefault="00FB2A14">
      <w:r>
        <w:t xml:space="preserve">Sono passati poco più di tre mesi da quando la Commissione europea ha trasmesso al Parlamento europeo, al Consiglio, al Comitato </w:t>
      </w:r>
      <w:r w:rsidR="00D71082">
        <w:t>economico e sociale e</w:t>
      </w:r>
      <w:r>
        <w:t xml:space="preserve"> al Comitato delle Regioni la comunicazione intitolata “</w:t>
      </w:r>
      <w:hyperlink r:id="rId7" w:history="1">
        <w:r w:rsidRPr="00330741">
          <w:rPr>
            <w:rStyle w:val="Collegamentoipertestuale"/>
            <w:b/>
          </w:rPr>
          <w:t>Il Green Deal europeo</w:t>
        </w:r>
      </w:hyperlink>
      <w:r>
        <w:t xml:space="preserve">”. </w:t>
      </w:r>
    </w:p>
    <w:p w:rsidR="00FB2A14" w:rsidRDefault="00FB2A14" w:rsidP="00FB2A14">
      <w:pPr>
        <w:rPr>
          <w:iCs/>
        </w:rPr>
      </w:pPr>
      <w:r>
        <w:t>“</w:t>
      </w:r>
      <w:r w:rsidRPr="00FB2A14">
        <w:rPr>
          <w:i/>
          <w:iCs/>
        </w:rPr>
        <w:t>Il Green Deal europeo è la nostra nuova strategia per la crescita. Ci consentirà di ridurre le emissioni e di creare posti di lavoro.”</w:t>
      </w:r>
      <w:r>
        <w:rPr>
          <w:i/>
          <w:iCs/>
        </w:rPr>
        <w:t xml:space="preserve"> </w:t>
      </w:r>
      <w:r w:rsidRPr="00FB2A14">
        <w:rPr>
          <w:iCs/>
        </w:rPr>
        <w:t xml:space="preserve">Così Ursula von </w:t>
      </w:r>
      <w:proofErr w:type="spellStart"/>
      <w:r w:rsidRPr="00FB2A14">
        <w:rPr>
          <w:iCs/>
        </w:rPr>
        <w:t>der</w:t>
      </w:r>
      <w:proofErr w:type="spellEnd"/>
      <w:r w:rsidRPr="00FB2A14">
        <w:rPr>
          <w:iCs/>
        </w:rPr>
        <w:t xml:space="preserve"> </w:t>
      </w:r>
      <w:proofErr w:type="spellStart"/>
      <w:r w:rsidRPr="00FB2A14">
        <w:rPr>
          <w:iCs/>
        </w:rPr>
        <w:t>Leyen</w:t>
      </w:r>
      <w:proofErr w:type="spellEnd"/>
      <w:r w:rsidRPr="00FB2A14">
        <w:rPr>
          <w:iCs/>
        </w:rPr>
        <w:t>, presidente della Commissione europea</w:t>
      </w:r>
      <w:r>
        <w:rPr>
          <w:iCs/>
        </w:rPr>
        <w:t>, presentava lo scorso dicembre l’ambizioso progetto</w:t>
      </w:r>
      <w:r w:rsidRPr="00FB2A14">
        <w:rPr>
          <w:iCs/>
        </w:rPr>
        <w:t xml:space="preserve"> </w:t>
      </w:r>
      <w:r>
        <w:rPr>
          <w:iCs/>
        </w:rPr>
        <w:t>che</w:t>
      </w:r>
      <w:r w:rsidRPr="00FB2A14">
        <w:rPr>
          <w:iCs/>
        </w:rPr>
        <w:t xml:space="preserve"> mira a </w:t>
      </w:r>
      <w:r w:rsidRPr="00FB2A14">
        <w:rPr>
          <w:b/>
          <w:bCs/>
          <w:iCs/>
        </w:rPr>
        <w:t>migliorare il benessere delle persone</w:t>
      </w:r>
      <w:r>
        <w:rPr>
          <w:iCs/>
        </w:rPr>
        <w:t>, rendendo</w:t>
      </w:r>
      <w:r w:rsidRPr="00FB2A14">
        <w:rPr>
          <w:iCs/>
        </w:rPr>
        <w:t xml:space="preserve"> </w:t>
      </w:r>
      <w:r w:rsidRPr="00817386">
        <w:rPr>
          <w:b/>
          <w:iCs/>
        </w:rPr>
        <w:t xml:space="preserve">l’Europa </w:t>
      </w:r>
      <w:r w:rsidR="00780D43">
        <w:rPr>
          <w:b/>
          <w:iCs/>
        </w:rPr>
        <w:t>climaticamente neutra</w:t>
      </w:r>
      <w:r w:rsidRPr="00817386">
        <w:rPr>
          <w:b/>
          <w:iCs/>
        </w:rPr>
        <w:t xml:space="preserve"> </w:t>
      </w:r>
      <w:r w:rsidR="00817386" w:rsidRPr="00817386">
        <w:rPr>
          <w:b/>
          <w:iCs/>
        </w:rPr>
        <w:t>entro il</w:t>
      </w:r>
      <w:r w:rsidRPr="00817386">
        <w:rPr>
          <w:b/>
          <w:iCs/>
        </w:rPr>
        <w:t xml:space="preserve"> 2050</w:t>
      </w:r>
      <w:r>
        <w:rPr>
          <w:iCs/>
        </w:rPr>
        <w:t>.</w:t>
      </w:r>
    </w:p>
    <w:p w:rsidR="00FB2A14" w:rsidRDefault="00FB2A14" w:rsidP="00817386">
      <w:pPr>
        <w:rPr>
          <w:iCs/>
        </w:rPr>
      </w:pPr>
      <w:r>
        <w:rPr>
          <w:iCs/>
        </w:rPr>
        <w:t xml:space="preserve">Il Green Deal europeo </w:t>
      </w:r>
      <w:r w:rsidR="00817386">
        <w:rPr>
          <w:iCs/>
        </w:rPr>
        <w:t xml:space="preserve">copre tutti i settori dell’economia e </w:t>
      </w:r>
      <w:r w:rsidR="008B7AE0">
        <w:rPr>
          <w:iCs/>
        </w:rPr>
        <w:t>prevede</w:t>
      </w:r>
      <w:r w:rsidR="00817386">
        <w:rPr>
          <w:iCs/>
        </w:rPr>
        <w:t xml:space="preserve"> una precisa tabella di marcia</w:t>
      </w:r>
      <w:r w:rsidR="0007282D">
        <w:rPr>
          <w:iCs/>
        </w:rPr>
        <w:t>,</w:t>
      </w:r>
      <w:r w:rsidR="008B7AE0">
        <w:rPr>
          <w:iCs/>
        </w:rPr>
        <w:t xml:space="preserve"> con azioni volte ad </w:t>
      </w:r>
      <w:r w:rsidR="00817386" w:rsidRPr="00817386">
        <w:rPr>
          <w:iCs/>
        </w:rPr>
        <w:t>aumentare l’uso efficiente delle risorse passando</w:t>
      </w:r>
      <w:r w:rsidR="00350CE9">
        <w:rPr>
          <w:iCs/>
        </w:rPr>
        <w:t xml:space="preserve"> così</w:t>
      </w:r>
      <w:r w:rsidR="00817386" w:rsidRPr="00817386">
        <w:rPr>
          <w:iCs/>
        </w:rPr>
        <w:t xml:space="preserve"> a</w:t>
      </w:r>
      <w:r w:rsidR="00817386">
        <w:rPr>
          <w:iCs/>
        </w:rPr>
        <w:t>d</w:t>
      </w:r>
      <w:r w:rsidR="00817386" w:rsidRPr="00817386">
        <w:rPr>
          <w:iCs/>
        </w:rPr>
        <w:t xml:space="preserve"> un’econ</w:t>
      </w:r>
      <w:r w:rsidR="00350CE9">
        <w:rPr>
          <w:iCs/>
        </w:rPr>
        <w:t>omia pulita e circolare, contrastare</w:t>
      </w:r>
      <w:r w:rsidR="00817386" w:rsidRPr="00817386">
        <w:rPr>
          <w:iCs/>
        </w:rPr>
        <w:t xml:space="preserve"> i cambiamenti climatici, ripristinare la perdita di biodiversità e ridurre l’inquinamento.</w:t>
      </w:r>
      <w:r w:rsidR="00817386">
        <w:rPr>
          <w:iCs/>
        </w:rPr>
        <w:t xml:space="preserve"> Il “nuovo corso europeo” d</w:t>
      </w:r>
      <w:r w:rsidR="00817386" w:rsidRPr="00817386">
        <w:rPr>
          <w:iCs/>
        </w:rPr>
        <w:t xml:space="preserve">escrive gli investimenti necessari e gli strumenti finanziari disponibili e </w:t>
      </w:r>
      <w:r w:rsidR="008E1770">
        <w:rPr>
          <w:iCs/>
        </w:rPr>
        <w:t xml:space="preserve">garantisce </w:t>
      </w:r>
      <w:r w:rsidR="00817386" w:rsidRPr="00817386">
        <w:rPr>
          <w:iCs/>
        </w:rPr>
        <w:t>una transizione equa e</w:t>
      </w:r>
      <w:r w:rsidR="00817386">
        <w:rPr>
          <w:iCs/>
        </w:rPr>
        <w:t>d</w:t>
      </w:r>
      <w:r w:rsidR="00817386" w:rsidRPr="00817386">
        <w:rPr>
          <w:iCs/>
        </w:rPr>
        <w:t xml:space="preserve"> inclusiva</w:t>
      </w:r>
      <w:r w:rsidR="008E1770">
        <w:rPr>
          <w:iCs/>
        </w:rPr>
        <w:t>, che non lascerà indietro nessuno (Figura 1)</w:t>
      </w:r>
      <w:r w:rsidR="00817386" w:rsidRPr="00817386">
        <w:rPr>
          <w:iCs/>
        </w:rPr>
        <w:t>.</w:t>
      </w:r>
    </w:p>
    <w:p w:rsidR="008E1770" w:rsidRDefault="008E1770" w:rsidP="008E1770">
      <w:pPr>
        <w:keepNext/>
      </w:pPr>
      <w:r w:rsidRPr="008E1770">
        <w:rPr>
          <w:iCs/>
          <w:noProof/>
          <w:lang w:eastAsia="it-IT"/>
        </w:rPr>
        <w:drawing>
          <wp:inline distT="0" distB="0" distL="0" distR="0" wp14:anchorId="5F4427F5" wp14:editId="09219780">
            <wp:extent cx="6120130" cy="37185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3718560"/>
                    </a:xfrm>
                    <a:prstGeom prst="rect">
                      <a:avLst/>
                    </a:prstGeom>
                  </pic:spPr>
                </pic:pic>
              </a:graphicData>
            </a:graphic>
          </wp:inline>
        </w:drawing>
      </w:r>
    </w:p>
    <w:p w:rsidR="00817386" w:rsidRPr="00817386" w:rsidRDefault="008E1770" w:rsidP="008E1770">
      <w:pPr>
        <w:pStyle w:val="Didascalia"/>
        <w:jc w:val="center"/>
      </w:pPr>
      <w:r>
        <w:t xml:space="preserve">Figura </w:t>
      </w:r>
      <w:r w:rsidR="005D66FF">
        <w:fldChar w:fldCharType="begin"/>
      </w:r>
      <w:r w:rsidR="005D66FF">
        <w:instrText xml:space="preserve"> SEQ Figura \* ARABIC </w:instrText>
      </w:r>
      <w:r w:rsidR="005D66FF">
        <w:fldChar w:fldCharType="separate"/>
      </w:r>
      <w:r w:rsidR="000E66F5">
        <w:rPr>
          <w:noProof/>
        </w:rPr>
        <w:t>1</w:t>
      </w:r>
      <w:r w:rsidR="005D66FF">
        <w:rPr>
          <w:noProof/>
        </w:rPr>
        <w:fldChar w:fldCharType="end"/>
      </w:r>
      <w:r>
        <w:t xml:space="preserve"> - Il Green Deal europeo (fonte: COM (2019) 640 </w:t>
      </w:r>
      <w:proofErr w:type="spellStart"/>
      <w:r>
        <w:t>final</w:t>
      </w:r>
      <w:proofErr w:type="spellEnd"/>
      <w:r>
        <w:t>)</w:t>
      </w:r>
    </w:p>
    <w:p w:rsidR="00317FDB" w:rsidRDefault="00317FDB"/>
    <w:p w:rsidR="00317FDB" w:rsidRPr="00317FDB" w:rsidRDefault="00317FDB">
      <w:r w:rsidRPr="00317FDB">
        <w:t xml:space="preserve">Per </w:t>
      </w:r>
      <w:r w:rsidR="00571478">
        <w:t>tradurre in</w:t>
      </w:r>
      <w:r w:rsidR="00286EA5">
        <w:t xml:space="preserve"> atti legislativi l’ambizione di</w:t>
      </w:r>
      <w:r w:rsidR="00571478">
        <w:t xml:space="preserve"> essere il primo continente ad emissioni zero entro il 2050, la </w:t>
      </w:r>
      <w:r w:rsidRPr="00317FDB">
        <w:t xml:space="preserve">Commissione </w:t>
      </w:r>
      <w:r w:rsidR="008167EA">
        <w:t xml:space="preserve">ha presentato ad inizio mese anche </w:t>
      </w:r>
      <w:r w:rsidR="00571478">
        <w:t>la prima “</w:t>
      </w:r>
      <w:r w:rsidR="00571478" w:rsidRPr="00571478">
        <w:rPr>
          <w:b/>
        </w:rPr>
        <w:t>legge europea sul clima</w:t>
      </w:r>
      <w:r w:rsidR="00571478">
        <w:t xml:space="preserve">”, </w:t>
      </w:r>
      <w:r w:rsidR="008167EA" w:rsidRPr="00317FDB">
        <w:t xml:space="preserve">una nuova </w:t>
      </w:r>
      <w:r w:rsidR="008167EA" w:rsidRPr="00317FDB">
        <w:rPr>
          <w:b/>
        </w:rPr>
        <w:t>Strategia industriale</w:t>
      </w:r>
      <w:r w:rsidR="008167EA">
        <w:t xml:space="preserve">, </w:t>
      </w:r>
      <w:r w:rsidR="008167EA" w:rsidRPr="00317FDB">
        <w:t xml:space="preserve">un </w:t>
      </w:r>
      <w:r w:rsidR="008167EA" w:rsidRPr="00317FDB">
        <w:rPr>
          <w:b/>
        </w:rPr>
        <w:t>Piano d’azione per l’economia circolare</w:t>
      </w:r>
      <w:r w:rsidR="008167EA">
        <w:t xml:space="preserve">, </w:t>
      </w:r>
      <w:r w:rsidRPr="00317FDB">
        <w:t xml:space="preserve">una </w:t>
      </w:r>
      <w:r w:rsidRPr="00317FDB">
        <w:rPr>
          <w:b/>
        </w:rPr>
        <w:t>Strategia sulla biodiversità per il 2030</w:t>
      </w:r>
      <w:r w:rsidR="008167EA">
        <w:t xml:space="preserve"> </w:t>
      </w:r>
      <w:r>
        <w:t>e</w:t>
      </w:r>
      <w:r w:rsidR="00571478">
        <w:t>d</w:t>
      </w:r>
      <w:r>
        <w:t xml:space="preserve"> una </w:t>
      </w:r>
      <w:r w:rsidRPr="00571478">
        <w:rPr>
          <w:b/>
        </w:rPr>
        <w:t xml:space="preserve">Strategia Farm to </w:t>
      </w:r>
      <w:proofErr w:type="spellStart"/>
      <w:r w:rsidRPr="00571478">
        <w:rPr>
          <w:b/>
        </w:rPr>
        <w:t>Fork</w:t>
      </w:r>
      <w:proofErr w:type="spellEnd"/>
      <w:r w:rsidRPr="00571478">
        <w:rPr>
          <w:b/>
        </w:rPr>
        <w:t xml:space="preserve"> </w:t>
      </w:r>
      <w:r w:rsidR="00571478" w:rsidRPr="00571478">
        <w:rPr>
          <w:b/>
        </w:rPr>
        <w:t xml:space="preserve">(dal produttore al consumatore) </w:t>
      </w:r>
      <w:r w:rsidRPr="00571478">
        <w:rPr>
          <w:b/>
        </w:rPr>
        <w:t>per alimenti sostenibili</w:t>
      </w:r>
      <w:r w:rsidR="00571478">
        <w:t>.</w:t>
      </w:r>
    </w:p>
    <w:p w:rsidR="00FB2A14" w:rsidRDefault="001A41E7">
      <w:r>
        <w:lastRenderedPageBreak/>
        <w:t>L’</w:t>
      </w:r>
      <w:r w:rsidRPr="001A41E7">
        <w:rPr>
          <w:b/>
        </w:rPr>
        <w:t>agricoltura</w:t>
      </w:r>
      <w:r>
        <w:t xml:space="preserve"> giocherà</w:t>
      </w:r>
      <w:r w:rsidR="00780D43">
        <w:t>,</w:t>
      </w:r>
      <w:r>
        <w:t xml:space="preserve"> </w:t>
      </w:r>
      <w:r w:rsidR="00780D43">
        <w:t xml:space="preserve">infatti, </w:t>
      </w:r>
      <w:r>
        <w:t>un ruolo chiave in questo percorso verso un pianeta più verde e sano.</w:t>
      </w:r>
    </w:p>
    <w:p w:rsidR="001A41E7" w:rsidRPr="001A41E7" w:rsidRDefault="001A41E7" w:rsidP="001A41E7">
      <w:pPr>
        <w:pStyle w:val="Citazioneintensa"/>
      </w:pPr>
      <w:r w:rsidRPr="001A41E7">
        <w:t xml:space="preserve">“Proponiamo una transizione verde e inclusiva che contribuirà a migliorare il benessere delle persone e a trasmettere un pianeta sano alle generazioni future.” </w:t>
      </w:r>
    </w:p>
    <w:p w:rsidR="001A41E7" w:rsidRDefault="00A15123" w:rsidP="001A41E7">
      <w:pPr>
        <w:pStyle w:val="Citazioneintensa"/>
      </w:pPr>
      <w:proofErr w:type="spellStart"/>
      <w:r>
        <w:t>Frans</w:t>
      </w:r>
      <w:proofErr w:type="spellEnd"/>
      <w:r>
        <w:t xml:space="preserve"> </w:t>
      </w:r>
      <w:proofErr w:type="spellStart"/>
      <w:r>
        <w:t>Timmermans</w:t>
      </w:r>
      <w:proofErr w:type="spellEnd"/>
      <w:r>
        <w:t>, p</w:t>
      </w:r>
      <w:r w:rsidR="001A41E7" w:rsidRPr="001A41E7">
        <w:t>rimo vicepresidente della Commissione europea</w:t>
      </w:r>
    </w:p>
    <w:p w:rsidR="003862AE" w:rsidRDefault="00780D43" w:rsidP="003862AE">
      <w:r w:rsidRPr="004F5862">
        <w:rPr>
          <w:b/>
        </w:rPr>
        <w:t xml:space="preserve">L’azione della Commissione parte </w:t>
      </w:r>
      <w:r w:rsidR="008167EA">
        <w:rPr>
          <w:b/>
        </w:rPr>
        <w:t xml:space="preserve">purtroppo </w:t>
      </w:r>
      <w:r w:rsidRPr="004F5862">
        <w:rPr>
          <w:b/>
        </w:rPr>
        <w:t>dai tristi record negativi dell’attuale sistema alimentare mondiale</w:t>
      </w:r>
      <w:r>
        <w:t>. Infatti, s</w:t>
      </w:r>
      <w:r w:rsidR="003862AE">
        <w:t xml:space="preserve">econdo </w:t>
      </w:r>
      <w:hyperlink r:id="rId9" w:history="1">
        <w:r w:rsidR="003862AE" w:rsidRPr="00D76505">
          <w:rPr>
            <w:rStyle w:val="Collegamentoipertestuale"/>
          </w:rPr>
          <w:t>recenti studi dell’IPCC</w:t>
        </w:r>
      </w:hyperlink>
      <w:r w:rsidR="003862AE">
        <w:t xml:space="preserve"> (International Pa</w:t>
      </w:r>
      <w:r>
        <w:t xml:space="preserve">nel on </w:t>
      </w:r>
      <w:proofErr w:type="spellStart"/>
      <w:r>
        <w:t>Climate</w:t>
      </w:r>
      <w:proofErr w:type="spellEnd"/>
      <w:r>
        <w:t xml:space="preserve"> </w:t>
      </w:r>
      <w:proofErr w:type="spellStart"/>
      <w:r>
        <w:t>Change</w:t>
      </w:r>
      <w:proofErr w:type="spellEnd"/>
      <w:r>
        <w:t>),</w:t>
      </w:r>
      <w:r w:rsidR="003862AE">
        <w:t xml:space="preserve"> il 25-30% delle emissioni di gas serra a livello globale sono</w:t>
      </w:r>
      <w:r w:rsidR="00D76505">
        <w:t xml:space="preserve"> </w:t>
      </w:r>
      <w:r w:rsidR="003862AE">
        <w:t xml:space="preserve">attribuibili </w:t>
      </w:r>
      <w:r>
        <w:t>al modo in cui produciamo cibo</w:t>
      </w:r>
      <w:r w:rsidR="003862AE">
        <w:t>. L’agricoltura contribuisce notevolmente all'inquinamento di aria, suolo e acqua, nonché alla perdita di biodiversità. Allo stesso tempo, eventi meteorologici estremi dovuti ai cambiamenti climatici stanno incidendo gravemente sulla produzione agricola ed ittica con conseguenze disastrose per la sussistenza di agricoltori e pescatori.</w:t>
      </w:r>
    </w:p>
    <w:p w:rsidR="003862AE" w:rsidRPr="003862AE" w:rsidRDefault="003862AE" w:rsidP="003862AE">
      <w:r>
        <w:t xml:space="preserve">Nell'ambito della futura Politica Agricola Comune (PAC) 2021-2027, sono </w:t>
      </w:r>
      <w:r w:rsidR="003317F3">
        <w:t xml:space="preserve">già </w:t>
      </w:r>
      <w:r>
        <w:t xml:space="preserve">stati proposti incentivi per gli agricoltori affinché contribuiscano attivamente agli obiettivi climatici, a proteggere l'ambiente e la biodiversità. </w:t>
      </w:r>
      <w:r w:rsidRPr="00D76505">
        <w:rPr>
          <w:b/>
        </w:rPr>
        <w:t xml:space="preserve">La strategia Farm to </w:t>
      </w:r>
      <w:proofErr w:type="spellStart"/>
      <w:r w:rsidRPr="00D76505">
        <w:rPr>
          <w:b/>
        </w:rPr>
        <w:t>Fork</w:t>
      </w:r>
      <w:proofErr w:type="spellEnd"/>
      <w:r w:rsidRPr="00D76505">
        <w:rPr>
          <w:b/>
        </w:rPr>
        <w:t xml:space="preserve"> integrerà e sosterrà questi sforzi</w:t>
      </w:r>
      <w:r>
        <w:t xml:space="preserve"> </w:t>
      </w:r>
      <w:r w:rsidRPr="0042197F">
        <w:rPr>
          <w:b/>
        </w:rPr>
        <w:t>per</w:t>
      </w:r>
      <w:r>
        <w:t xml:space="preserve"> </w:t>
      </w:r>
      <w:r w:rsidR="00D76505" w:rsidRPr="0042197F">
        <w:rPr>
          <w:b/>
        </w:rPr>
        <w:t>accelerare</w:t>
      </w:r>
      <w:r w:rsidR="00D76505">
        <w:t xml:space="preserve"> </w:t>
      </w:r>
      <w:r w:rsidR="00D76505" w:rsidRPr="0042197F">
        <w:rPr>
          <w:b/>
        </w:rPr>
        <w:t>lo spostamento</w:t>
      </w:r>
      <w:r w:rsidRPr="0042197F">
        <w:rPr>
          <w:b/>
        </w:rPr>
        <w:t xml:space="preserve"> verso sistemi alimentari più sostenibili</w:t>
      </w:r>
      <w:r w:rsidR="00780D43">
        <w:t>,</w:t>
      </w:r>
      <w:r>
        <w:t xml:space="preserve"> in linea </w:t>
      </w:r>
      <w:r w:rsidR="00780D43">
        <w:t xml:space="preserve">sia </w:t>
      </w:r>
      <w:r>
        <w:t>con il Green</w:t>
      </w:r>
      <w:r w:rsidR="00D76505">
        <w:t xml:space="preserve"> Deal</w:t>
      </w:r>
      <w:r w:rsidR="00D76505" w:rsidRPr="00D76505">
        <w:t xml:space="preserve"> </w:t>
      </w:r>
      <w:r w:rsidR="00780D43">
        <w:t>europeo ch</w:t>
      </w:r>
      <w:r w:rsidR="00D76505" w:rsidRPr="00D76505">
        <w:t xml:space="preserve">e </w:t>
      </w:r>
      <w:r w:rsidR="00D76505">
        <w:t xml:space="preserve">con </w:t>
      </w:r>
      <w:r w:rsidR="00780D43">
        <w:t xml:space="preserve">gli </w:t>
      </w:r>
      <w:hyperlink r:id="rId10" w:history="1">
        <w:r w:rsidR="00780D43" w:rsidRPr="004F5862">
          <w:rPr>
            <w:rStyle w:val="Collegamentoipertestuale"/>
          </w:rPr>
          <w:t>Obiettivi di Sviluppo S</w:t>
        </w:r>
        <w:r w:rsidR="00D76505" w:rsidRPr="004F5862">
          <w:rPr>
            <w:rStyle w:val="Collegamentoipertestuale"/>
          </w:rPr>
          <w:t>ostenibile delle Nazioni Unite</w:t>
        </w:r>
      </w:hyperlink>
      <w:r w:rsidR="00D76505">
        <w:t>.</w:t>
      </w:r>
    </w:p>
    <w:p w:rsidR="004A3077" w:rsidRDefault="008167EA" w:rsidP="004A3077">
      <w:r>
        <w:t>La</w:t>
      </w:r>
      <w:r w:rsidR="004F5862">
        <w:t xml:space="preserve"> Commissione europea</w:t>
      </w:r>
      <w:r w:rsidR="004A3077">
        <w:t xml:space="preserve"> </w:t>
      </w:r>
      <w:r w:rsidR="001C5BB4">
        <w:t>lavorerà</w:t>
      </w:r>
      <w:r w:rsidR="006D0185">
        <w:t xml:space="preserve"> con gli Stati membri e</w:t>
      </w:r>
      <w:r w:rsidR="004A3077">
        <w:t xml:space="preserve"> i portatori di interesse per:</w:t>
      </w:r>
    </w:p>
    <w:p w:rsidR="004A3077" w:rsidRDefault="004A3077" w:rsidP="00524CE7">
      <w:pPr>
        <w:pStyle w:val="Paragrafoelenco"/>
        <w:numPr>
          <w:ilvl w:val="0"/>
          <w:numId w:val="1"/>
        </w:numPr>
      </w:pPr>
      <w:r w:rsidRPr="004A3077">
        <w:rPr>
          <w:b/>
        </w:rPr>
        <w:t xml:space="preserve">Garantire </w:t>
      </w:r>
      <w:r w:rsidR="000E66F5">
        <w:rPr>
          <w:b/>
        </w:rPr>
        <w:t>una</w:t>
      </w:r>
      <w:r w:rsidRPr="004A3077">
        <w:rPr>
          <w:b/>
        </w:rPr>
        <w:t xml:space="preserve"> transizione </w:t>
      </w:r>
      <w:r w:rsidR="000E66F5">
        <w:rPr>
          <w:b/>
        </w:rPr>
        <w:t>giusta</w:t>
      </w:r>
      <w:r w:rsidRPr="004A3077">
        <w:rPr>
          <w:b/>
        </w:rPr>
        <w:t xml:space="preserve"> </w:t>
      </w:r>
      <w:r w:rsidR="000E66F5">
        <w:rPr>
          <w:b/>
        </w:rPr>
        <w:t>ed equa</w:t>
      </w:r>
      <w:r w:rsidR="000E66F5" w:rsidRPr="000E66F5">
        <w:t>,</w:t>
      </w:r>
      <w:r w:rsidR="000E66F5">
        <w:rPr>
          <w:b/>
        </w:rPr>
        <w:t xml:space="preserve"> </w:t>
      </w:r>
      <w:r w:rsidR="000E66F5" w:rsidRPr="000E66F5">
        <w:t>ch</w:t>
      </w:r>
      <w:r w:rsidRPr="000E66F5">
        <w:t>e coinvolga tutti</w:t>
      </w:r>
      <w:r>
        <w:t xml:space="preserve"> gli operatori del settore agricolo e marittimo europeo;</w:t>
      </w:r>
    </w:p>
    <w:p w:rsidR="000E66F5" w:rsidRDefault="004A3077" w:rsidP="004A3077">
      <w:pPr>
        <w:pStyle w:val="Paragrafoelenco"/>
        <w:numPr>
          <w:ilvl w:val="0"/>
          <w:numId w:val="1"/>
        </w:numPr>
      </w:pPr>
      <w:r w:rsidRPr="004A3077">
        <w:rPr>
          <w:b/>
        </w:rPr>
        <w:t>Ridurre significativamente la dipendenza, il rischio e l'uso di pesticidi chimici</w:t>
      </w:r>
      <w:r>
        <w:t>, nonché di fertilizzanti e antibiotici;</w:t>
      </w:r>
    </w:p>
    <w:p w:rsidR="000E66F5" w:rsidRPr="000E66F5" w:rsidRDefault="000E66F5" w:rsidP="004A3077">
      <w:pPr>
        <w:pStyle w:val="Paragrafoelenco"/>
        <w:numPr>
          <w:ilvl w:val="0"/>
          <w:numId w:val="1"/>
        </w:numPr>
      </w:pPr>
      <w:r>
        <w:rPr>
          <w:b/>
        </w:rPr>
        <w:t>S</w:t>
      </w:r>
      <w:r w:rsidRPr="000E66F5">
        <w:rPr>
          <w:b/>
        </w:rPr>
        <w:t xml:space="preserve">viluppare metodi innovativi nell’agricoltura e nella pesca </w:t>
      </w:r>
      <w:r w:rsidRPr="000E66F5">
        <w:t>per proteggere i raccolti da organismi nocivi e malattie</w:t>
      </w:r>
      <w:r>
        <w:t>.</w:t>
      </w:r>
    </w:p>
    <w:p w:rsidR="003862AE" w:rsidRDefault="004A3077" w:rsidP="003862AE">
      <w:r>
        <w:t xml:space="preserve">Farm to </w:t>
      </w:r>
      <w:proofErr w:type="spellStart"/>
      <w:r>
        <w:t>Fork</w:t>
      </w:r>
      <w:proofErr w:type="spellEnd"/>
      <w:r>
        <w:t xml:space="preserve"> aiuterà anche a </w:t>
      </w:r>
      <w:r w:rsidRPr="004A3077">
        <w:rPr>
          <w:b/>
        </w:rPr>
        <w:t>co</w:t>
      </w:r>
      <w:r w:rsidR="000E66F5">
        <w:rPr>
          <w:b/>
        </w:rPr>
        <w:t>ntrastare</w:t>
      </w:r>
      <w:r w:rsidRPr="004A3077">
        <w:rPr>
          <w:b/>
        </w:rPr>
        <w:t xml:space="preserve"> le frodi alimentari</w:t>
      </w:r>
      <w:r w:rsidR="000E66F5">
        <w:t>, a</w:t>
      </w:r>
      <w:r w:rsidR="001C5BB4">
        <w:t>d</w:t>
      </w:r>
      <w:r w:rsidR="000E66F5">
        <w:t xml:space="preserve"> individuarle e prevenirle </w:t>
      </w:r>
      <w:r>
        <w:t>grazie al coordinamento fra Stati membri</w:t>
      </w:r>
      <w:r w:rsidR="000E66F5">
        <w:t xml:space="preserve"> dell’UE</w:t>
      </w:r>
      <w:r>
        <w:t xml:space="preserve"> </w:t>
      </w:r>
      <w:r w:rsidR="000E66F5">
        <w:t>e paesi terzi</w:t>
      </w:r>
      <w:r>
        <w:t>.</w:t>
      </w:r>
      <w:r w:rsidR="003E57E2">
        <w:t xml:space="preserve"> </w:t>
      </w:r>
      <w:r w:rsidR="003862AE">
        <w:t xml:space="preserve">I </w:t>
      </w:r>
      <w:r w:rsidR="003862AE" w:rsidRPr="004A3077">
        <w:rPr>
          <w:b/>
        </w:rPr>
        <w:t>prodotti alimentari importati</w:t>
      </w:r>
      <w:r w:rsidR="003862AE">
        <w:t xml:space="preserve"> dovranno essere </w:t>
      </w:r>
      <w:r w:rsidR="003862AE" w:rsidRPr="004A3077">
        <w:rPr>
          <w:b/>
        </w:rPr>
        <w:t>conformi agli standard ambientali dell'UE</w:t>
      </w:r>
      <w:r w:rsidR="003862AE">
        <w:t>.</w:t>
      </w:r>
    </w:p>
    <w:p w:rsidR="003E57E2" w:rsidRDefault="000D3800" w:rsidP="003E57E2">
      <w:r>
        <w:t>Parallelamente, l</w:t>
      </w:r>
      <w:r w:rsidR="003E57E2" w:rsidRPr="003E57E2">
        <w:t xml:space="preserve">a Commissione aiuterà i consumatori a scegliere </w:t>
      </w:r>
      <w:r w:rsidR="003E57E2" w:rsidRPr="003862AE">
        <w:rPr>
          <w:b/>
        </w:rPr>
        <w:t>diete sane e sostenibili</w:t>
      </w:r>
      <w:r w:rsidR="003E57E2" w:rsidRPr="003E57E2">
        <w:t xml:space="preserve"> e a </w:t>
      </w:r>
      <w:r w:rsidR="003862AE">
        <w:t>ridurre gli sprechi alimentari, fornendo</w:t>
      </w:r>
      <w:r w:rsidR="003E57E2" w:rsidRPr="003E57E2">
        <w:t xml:space="preserve"> </w:t>
      </w:r>
      <w:r w:rsidR="003862AE">
        <w:t xml:space="preserve">più </w:t>
      </w:r>
      <w:r w:rsidR="003862AE" w:rsidRPr="003862AE">
        <w:rPr>
          <w:bCs/>
        </w:rPr>
        <w:t>informazioni</w:t>
      </w:r>
      <w:r w:rsidR="003862AE">
        <w:t xml:space="preserve"> e</w:t>
      </w:r>
      <w:r w:rsidR="003E57E2" w:rsidRPr="003E57E2">
        <w:t xml:space="preserve"> dettagl</w:t>
      </w:r>
      <w:r w:rsidR="006F324C">
        <w:t xml:space="preserve">i, </w:t>
      </w:r>
      <w:r w:rsidR="003E57E2" w:rsidRPr="003E57E2">
        <w:t xml:space="preserve">quali la provenienza del cibo, </w:t>
      </w:r>
      <w:r w:rsidR="006F324C">
        <w:t xml:space="preserve">il suo impatto ambientale e </w:t>
      </w:r>
      <w:r w:rsidR="003E57E2" w:rsidRPr="003E57E2">
        <w:t>il suo valore nutrizionale</w:t>
      </w:r>
      <w:r w:rsidR="009C3236">
        <w:t xml:space="preserve">, con </w:t>
      </w:r>
      <w:r w:rsidR="009C3236" w:rsidRPr="009C3236">
        <w:t>etichett</w:t>
      </w:r>
      <w:r w:rsidR="009C3236">
        <w:t>e</w:t>
      </w:r>
      <w:r w:rsidR="009C3236" w:rsidRPr="009C3236">
        <w:t xml:space="preserve"> e tabelle nutrizionali chiare, leggibili e uniche</w:t>
      </w:r>
      <w:r w:rsidR="009C3236">
        <w:t>.</w:t>
      </w:r>
    </w:p>
    <w:p w:rsidR="004A3077" w:rsidRDefault="004A3077" w:rsidP="001A41E7">
      <w:r>
        <w:t xml:space="preserve">Farm to </w:t>
      </w:r>
      <w:proofErr w:type="spellStart"/>
      <w:r>
        <w:t>Fork</w:t>
      </w:r>
      <w:proofErr w:type="spellEnd"/>
      <w:r>
        <w:t xml:space="preserve"> contribuirà </w:t>
      </w:r>
      <w:r w:rsidR="001C5BB4">
        <w:t xml:space="preserve">infine </w:t>
      </w:r>
      <w:r>
        <w:t>a r</w:t>
      </w:r>
      <w:r w:rsidR="000E66F5">
        <w:t>ealizzare</w:t>
      </w:r>
      <w:r>
        <w:t xml:space="preserve"> </w:t>
      </w:r>
      <w:r w:rsidR="004A7EFE">
        <w:t xml:space="preserve">processi di </w:t>
      </w:r>
      <w:r w:rsidRPr="000E66F5">
        <w:rPr>
          <w:b/>
        </w:rPr>
        <w:t>economia circolare</w:t>
      </w:r>
      <w:r>
        <w:t>, dal campo alla tavola</w:t>
      </w:r>
      <w:r w:rsidR="006F324C">
        <w:t>, grazie ad esempio a</w:t>
      </w:r>
      <w:r w:rsidR="000E66F5">
        <w:t xml:space="preserve"> una migliore gestione</w:t>
      </w:r>
      <w:r w:rsidR="006F324C">
        <w:t xml:space="preserve"> delle eccedenze alimentari o a</w:t>
      </w:r>
      <w:r w:rsidR="000E66F5">
        <w:t xml:space="preserve"> un ripensamento del packaging </w:t>
      </w:r>
      <w:r w:rsidR="001C5BB4">
        <w:t>dei prodotti</w:t>
      </w:r>
      <w:r w:rsidR="000E66F5">
        <w:t xml:space="preserve"> (Figura 2).</w:t>
      </w:r>
    </w:p>
    <w:p w:rsidR="000E66F5" w:rsidRDefault="000E66F5" w:rsidP="000E66F5">
      <w:pPr>
        <w:keepNext/>
      </w:pPr>
      <w:r w:rsidRPr="000E66F5">
        <w:rPr>
          <w:noProof/>
          <w:lang w:eastAsia="it-IT"/>
        </w:rPr>
        <w:lastRenderedPageBreak/>
        <w:drawing>
          <wp:inline distT="0" distB="0" distL="0" distR="0" wp14:anchorId="7E9209CA" wp14:editId="1C27F43B">
            <wp:extent cx="6120130" cy="33045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3304540"/>
                    </a:xfrm>
                    <a:prstGeom prst="rect">
                      <a:avLst/>
                    </a:prstGeom>
                  </pic:spPr>
                </pic:pic>
              </a:graphicData>
            </a:graphic>
          </wp:inline>
        </w:drawing>
      </w:r>
    </w:p>
    <w:p w:rsidR="000E66F5" w:rsidRDefault="000E66F5" w:rsidP="000E66F5">
      <w:pPr>
        <w:pStyle w:val="Didascalia"/>
        <w:jc w:val="center"/>
      </w:pPr>
      <w:r>
        <w:t xml:space="preserve">Figura </w:t>
      </w:r>
      <w:r w:rsidR="005D66FF">
        <w:fldChar w:fldCharType="begin"/>
      </w:r>
      <w:r w:rsidR="005D66FF">
        <w:instrText xml:space="preserve"> SEQ Figura \* ARABIC </w:instrText>
      </w:r>
      <w:r w:rsidR="005D66FF">
        <w:fldChar w:fldCharType="separate"/>
      </w:r>
      <w:r>
        <w:rPr>
          <w:noProof/>
        </w:rPr>
        <w:t>2</w:t>
      </w:r>
      <w:r w:rsidR="005D66FF">
        <w:rPr>
          <w:noProof/>
        </w:rPr>
        <w:fldChar w:fldCharType="end"/>
      </w:r>
      <w:r>
        <w:t xml:space="preserve"> </w:t>
      </w:r>
      <w:r w:rsidR="00CE2283">
        <w:t>–</w:t>
      </w:r>
      <w:r>
        <w:t xml:space="preserve"> </w:t>
      </w:r>
      <w:r w:rsidR="00CE2283">
        <w:t xml:space="preserve">Strategia </w:t>
      </w:r>
      <w:r>
        <w:t xml:space="preserve">Farm to </w:t>
      </w:r>
      <w:proofErr w:type="spellStart"/>
      <w:r>
        <w:t>Fork</w:t>
      </w:r>
      <w:proofErr w:type="spellEnd"/>
      <w:r>
        <w:t xml:space="preserve"> ed economia circolare (fonte: Commissione Europea)</w:t>
      </w:r>
    </w:p>
    <w:p w:rsidR="000E66F5" w:rsidRDefault="000E66F5" w:rsidP="001A41E7"/>
    <w:p w:rsidR="004A3077" w:rsidRDefault="001C5BB4" w:rsidP="001A41E7">
      <w:r>
        <w:rPr>
          <w:noProof/>
          <w:lang w:eastAsia="it-IT"/>
        </w:rPr>
        <w:t xml:space="preserve">Per </w:t>
      </w:r>
      <w:r w:rsidR="003317F3">
        <w:rPr>
          <w:noProof/>
          <w:lang w:eastAsia="it-IT"/>
        </w:rPr>
        <w:t xml:space="preserve">consentire </w:t>
      </w:r>
      <w:r>
        <w:rPr>
          <w:noProof/>
          <w:lang w:eastAsia="it-IT"/>
        </w:rPr>
        <w:t>tutto ciò, almeno il 40% del budget dell’UE 2021-2027 dovrà contribuire all’</w:t>
      </w:r>
      <w:r w:rsidR="003317F3">
        <w:rPr>
          <w:noProof/>
          <w:lang w:eastAsia="it-IT"/>
        </w:rPr>
        <w:t>azione per il clima. S</w:t>
      </w:r>
      <w:proofErr w:type="spellStart"/>
      <w:r w:rsidR="00D7693E">
        <w:rPr>
          <w:iCs/>
        </w:rPr>
        <w:t>ono</w:t>
      </w:r>
      <w:proofErr w:type="spellEnd"/>
      <w:r w:rsidR="003317F3">
        <w:rPr>
          <w:iCs/>
        </w:rPr>
        <w:t xml:space="preserve"> inoltre</w:t>
      </w:r>
      <w:r w:rsidR="00D7693E">
        <w:rPr>
          <w:iCs/>
        </w:rPr>
        <w:t xml:space="preserve"> a</w:t>
      </w:r>
      <w:r w:rsidR="00D7693E" w:rsidRPr="00D7693E">
        <w:rPr>
          <w:iCs/>
        </w:rPr>
        <w:t xml:space="preserve">llo studio specifici </w:t>
      </w:r>
      <w:r w:rsidR="00D7693E" w:rsidRPr="001C5BB4">
        <w:rPr>
          <w:b/>
          <w:iCs/>
        </w:rPr>
        <w:t xml:space="preserve">piani strategici nazionali </w:t>
      </w:r>
      <w:r w:rsidRPr="001C5BB4">
        <w:rPr>
          <w:b/>
          <w:iCs/>
        </w:rPr>
        <w:t>per l</w:t>
      </w:r>
      <w:r w:rsidR="00D7693E" w:rsidRPr="001C5BB4">
        <w:rPr>
          <w:b/>
          <w:iCs/>
        </w:rPr>
        <w:t>’agricoltura</w:t>
      </w:r>
      <w:r>
        <w:rPr>
          <w:iCs/>
        </w:rPr>
        <w:t xml:space="preserve">, in grado di </w:t>
      </w:r>
      <w:r>
        <w:t xml:space="preserve">rispecchiare pienamente il livello d’ambizione del Green Deal europeo e della strategia “Dal produttore al consumatore”. </w:t>
      </w:r>
    </w:p>
    <w:p w:rsidR="001C5BB4" w:rsidRPr="00D7693E" w:rsidRDefault="001C5BB4" w:rsidP="001A41E7">
      <w:r>
        <w:t xml:space="preserve">I Piani Strategici dovranno incentivare l’uso di </w:t>
      </w:r>
      <w:r w:rsidRPr="004A7EFE">
        <w:rPr>
          <w:b/>
        </w:rPr>
        <w:t>pratiche sostenibili</w:t>
      </w:r>
      <w:r w:rsidR="00584B13">
        <w:rPr>
          <w:b/>
        </w:rPr>
        <w:t xml:space="preserve">, </w:t>
      </w:r>
      <w:r w:rsidR="00F9039B">
        <w:t>quali l’agricoltura di precisione, l’</w:t>
      </w:r>
      <w:r w:rsidR="004A7EFE">
        <w:t>agricoltura biologica e</w:t>
      </w:r>
      <w:r w:rsidR="00F9039B">
        <w:t xml:space="preserve"> l’</w:t>
      </w:r>
      <w:proofErr w:type="spellStart"/>
      <w:r w:rsidR="00F9039B">
        <w:t>agroecologia</w:t>
      </w:r>
      <w:proofErr w:type="spellEnd"/>
      <w:r w:rsidR="00F9039B">
        <w:t>. L’ottica è quella di ricompensare gli agricoltori per le migliori prestazioni ambientali e climatiche, che includono la gestione e lo stoc</w:t>
      </w:r>
      <w:r w:rsidR="005D66FF">
        <w:t>caggio del carbonio nel suolo e</w:t>
      </w:r>
      <w:r w:rsidR="00F9039B">
        <w:t xml:space="preserve"> una gestione più efficace dei nutrienti per migliorare la qualità dell’</w:t>
      </w:r>
      <w:r w:rsidR="00A15123">
        <w:t>acqua e ridurre le emissioni in atmosfera.</w:t>
      </w:r>
      <w:bookmarkStart w:id="0" w:name="_GoBack"/>
      <w:bookmarkEnd w:id="0"/>
    </w:p>
    <w:p w:rsidR="004A3077" w:rsidRDefault="004A3077" w:rsidP="001A41E7"/>
    <w:p w:rsidR="004A3077" w:rsidRDefault="004A3077" w:rsidP="001A41E7"/>
    <w:p w:rsidR="004A3077" w:rsidRPr="00A15123" w:rsidRDefault="00A15123" w:rsidP="00A15123">
      <w:pPr>
        <w:jc w:val="right"/>
        <w:rPr>
          <w:b/>
          <w:i/>
        </w:rPr>
      </w:pPr>
      <w:r w:rsidRPr="00A15123">
        <w:rPr>
          <w:b/>
          <w:i/>
        </w:rPr>
        <w:t>Martina Pirani</w:t>
      </w:r>
    </w:p>
    <w:p w:rsidR="004A3077" w:rsidRPr="00A15123" w:rsidRDefault="001D6743" w:rsidP="00A15123">
      <w:pPr>
        <w:jc w:val="right"/>
        <w:rPr>
          <w:b/>
          <w:i/>
          <w:sz w:val="18"/>
        </w:rPr>
      </w:pPr>
      <w:r>
        <w:rPr>
          <w:b/>
          <w:i/>
          <w:sz w:val="18"/>
        </w:rPr>
        <w:t xml:space="preserve">24 </w:t>
      </w:r>
      <w:r w:rsidR="00A15123" w:rsidRPr="00A15123">
        <w:rPr>
          <w:b/>
          <w:i/>
          <w:sz w:val="18"/>
        </w:rPr>
        <w:t>Marzo 2020</w:t>
      </w:r>
    </w:p>
    <w:p w:rsidR="001A41E7" w:rsidRPr="001A41E7" w:rsidRDefault="001A41E7" w:rsidP="001A41E7"/>
    <w:sectPr w:rsidR="001A41E7" w:rsidRPr="001A41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32E7C"/>
    <w:multiLevelType w:val="hybridMultilevel"/>
    <w:tmpl w:val="EC5C4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14"/>
    <w:rsid w:val="0007282D"/>
    <w:rsid w:val="000D3800"/>
    <w:rsid w:val="000E66F5"/>
    <w:rsid w:val="00156B26"/>
    <w:rsid w:val="001A41E7"/>
    <w:rsid w:val="001C5BB4"/>
    <w:rsid w:val="001D6743"/>
    <w:rsid w:val="00286EA5"/>
    <w:rsid w:val="00317FDB"/>
    <w:rsid w:val="00330741"/>
    <w:rsid w:val="003317F3"/>
    <w:rsid w:val="00350CE9"/>
    <w:rsid w:val="0037122E"/>
    <w:rsid w:val="003862AE"/>
    <w:rsid w:val="003E57E2"/>
    <w:rsid w:val="0042197F"/>
    <w:rsid w:val="004A3077"/>
    <w:rsid w:val="004A7EFE"/>
    <w:rsid w:val="004F5862"/>
    <w:rsid w:val="00571478"/>
    <w:rsid w:val="00584B13"/>
    <w:rsid w:val="005D66FF"/>
    <w:rsid w:val="006D0185"/>
    <w:rsid w:val="006F324C"/>
    <w:rsid w:val="00780D43"/>
    <w:rsid w:val="008167EA"/>
    <w:rsid w:val="00817386"/>
    <w:rsid w:val="008B7AE0"/>
    <w:rsid w:val="008E1770"/>
    <w:rsid w:val="009C3236"/>
    <w:rsid w:val="00A15123"/>
    <w:rsid w:val="00BA35EF"/>
    <w:rsid w:val="00CE2283"/>
    <w:rsid w:val="00D71082"/>
    <w:rsid w:val="00D76505"/>
    <w:rsid w:val="00D7693E"/>
    <w:rsid w:val="00E8474F"/>
    <w:rsid w:val="00F9039B"/>
    <w:rsid w:val="00FB2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B2A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2A14"/>
    <w:rPr>
      <w:rFonts w:asciiTheme="majorHAnsi" w:eastAsiaTheme="majorEastAsia" w:hAnsiTheme="majorHAnsi" w:cstheme="majorBidi"/>
      <w:spacing w:val="-10"/>
      <w:kern w:val="28"/>
      <w:sz w:val="56"/>
      <w:szCs w:val="56"/>
    </w:rPr>
  </w:style>
  <w:style w:type="paragraph" w:styleId="Didascalia">
    <w:name w:val="caption"/>
    <w:basedOn w:val="Normale"/>
    <w:next w:val="Normale"/>
    <w:uiPriority w:val="35"/>
    <w:unhideWhenUsed/>
    <w:qFormat/>
    <w:rsid w:val="008E1770"/>
    <w:pPr>
      <w:spacing w:after="200" w:line="240" w:lineRule="auto"/>
    </w:pPr>
    <w:rPr>
      <w:i/>
      <w:iCs/>
      <w:color w:val="455F51" w:themeColor="text2"/>
      <w:sz w:val="18"/>
      <w:szCs w:val="18"/>
    </w:rPr>
  </w:style>
  <w:style w:type="paragraph" w:styleId="Citazioneintensa">
    <w:name w:val="Intense Quote"/>
    <w:basedOn w:val="Normale"/>
    <w:next w:val="Normale"/>
    <w:link w:val="CitazioneintensaCarattere"/>
    <w:uiPriority w:val="30"/>
    <w:qFormat/>
    <w:rsid w:val="001A41E7"/>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CitazioneintensaCarattere">
    <w:name w:val="Citazione intensa Carattere"/>
    <w:basedOn w:val="Carpredefinitoparagrafo"/>
    <w:link w:val="Citazioneintensa"/>
    <w:uiPriority w:val="30"/>
    <w:rsid w:val="001A41E7"/>
    <w:rPr>
      <w:i/>
      <w:iCs/>
      <w:color w:val="549E39" w:themeColor="accent1"/>
    </w:rPr>
  </w:style>
  <w:style w:type="paragraph" w:styleId="Paragrafoelenco">
    <w:name w:val="List Paragraph"/>
    <w:basedOn w:val="Normale"/>
    <w:uiPriority w:val="34"/>
    <w:qFormat/>
    <w:rsid w:val="004A3077"/>
    <w:pPr>
      <w:ind w:left="720"/>
      <w:contextualSpacing/>
    </w:pPr>
  </w:style>
  <w:style w:type="character" w:styleId="Collegamentoipertestuale">
    <w:name w:val="Hyperlink"/>
    <w:basedOn w:val="Carpredefinitoparagrafo"/>
    <w:uiPriority w:val="99"/>
    <w:unhideWhenUsed/>
    <w:rsid w:val="003E57E2"/>
    <w:rPr>
      <w:color w:val="6B9F25" w:themeColor="hyperlink"/>
      <w:u w:val="single"/>
    </w:rPr>
  </w:style>
  <w:style w:type="paragraph" w:styleId="Testofumetto">
    <w:name w:val="Balloon Text"/>
    <w:basedOn w:val="Normale"/>
    <w:link w:val="TestofumettoCarattere"/>
    <w:uiPriority w:val="99"/>
    <w:semiHidden/>
    <w:unhideWhenUsed/>
    <w:rsid w:val="00E847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B2A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2A14"/>
    <w:rPr>
      <w:rFonts w:asciiTheme="majorHAnsi" w:eastAsiaTheme="majorEastAsia" w:hAnsiTheme="majorHAnsi" w:cstheme="majorBidi"/>
      <w:spacing w:val="-10"/>
      <w:kern w:val="28"/>
      <w:sz w:val="56"/>
      <w:szCs w:val="56"/>
    </w:rPr>
  </w:style>
  <w:style w:type="paragraph" w:styleId="Didascalia">
    <w:name w:val="caption"/>
    <w:basedOn w:val="Normale"/>
    <w:next w:val="Normale"/>
    <w:uiPriority w:val="35"/>
    <w:unhideWhenUsed/>
    <w:qFormat/>
    <w:rsid w:val="008E1770"/>
    <w:pPr>
      <w:spacing w:after="200" w:line="240" w:lineRule="auto"/>
    </w:pPr>
    <w:rPr>
      <w:i/>
      <w:iCs/>
      <w:color w:val="455F51" w:themeColor="text2"/>
      <w:sz w:val="18"/>
      <w:szCs w:val="18"/>
    </w:rPr>
  </w:style>
  <w:style w:type="paragraph" w:styleId="Citazioneintensa">
    <w:name w:val="Intense Quote"/>
    <w:basedOn w:val="Normale"/>
    <w:next w:val="Normale"/>
    <w:link w:val="CitazioneintensaCarattere"/>
    <w:uiPriority w:val="30"/>
    <w:qFormat/>
    <w:rsid w:val="001A41E7"/>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CitazioneintensaCarattere">
    <w:name w:val="Citazione intensa Carattere"/>
    <w:basedOn w:val="Carpredefinitoparagrafo"/>
    <w:link w:val="Citazioneintensa"/>
    <w:uiPriority w:val="30"/>
    <w:rsid w:val="001A41E7"/>
    <w:rPr>
      <w:i/>
      <w:iCs/>
      <w:color w:val="549E39" w:themeColor="accent1"/>
    </w:rPr>
  </w:style>
  <w:style w:type="paragraph" w:styleId="Paragrafoelenco">
    <w:name w:val="List Paragraph"/>
    <w:basedOn w:val="Normale"/>
    <w:uiPriority w:val="34"/>
    <w:qFormat/>
    <w:rsid w:val="004A3077"/>
    <w:pPr>
      <w:ind w:left="720"/>
      <w:contextualSpacing/>
    </w:pPr>
  </w:style>
  <w:style w:type="character" w:styleId="Collegamentoipertestuale">
    <w:name w:val="Hyperlink"/>
    <w:basedOn w:val="Carpredefinitoparagrafo"/>
    <w:uiPriority w:val="99"/>
    <w:unhideWhenUsed/>
    <w:rsid w:val="003E57E2"/>
    <w:rPr>
      <w:color w:val="6B9F25" w:themeColor="hyperlink"/>
      <w:u w:val="single"/>
    </w:rPr>
  </w:style>
  <w:style w:type="paragraph" w:styleId="Testofumetto">
    <w:name w:val="Balloon Text"/>
    <w:basedOn w:val="Normale"/>
    <w:link w:val="TestofumettoCarattere"/>
    <w:uiPriority w:val="99"/>
    <w:semiHidden/>
    <w:unhideWhenUsed/>
    <w:rsid w:val="00E847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4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c.europa.eu/info/strategy/priorities-2019-2024/european-green-deal_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s://www.un.org/sustainabledevelopment/sustainable-development-goals/" TargetMode="External"/><Relationship Id="rId4" Type="http://schemas.microsoft.com/office/2007/relationships/stylesWithEffects" Target="stylesWithEffects.xml"/><Relationship Id="rId9" Type="http://schemas.openxmlformats.org/officeDocument/2006/relationships/hyperlink" Target="https://www.ipcc.ch/srccl/" TargetMode="External"/></Relationships>
</file>

<file path=word/theme/theme1.xml><?xml version="1.0" encoding="utf-8"?>
<a:theme xmlns:a="http://schemas.openxmlformats.org/drawingml/2006/main" name="Tema di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9AD6E-B74C-4224-8210-2AD7B500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821</Words>
  <Characters>4685</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PIRANI</dc:creator>
  <cp:lastModifiedBy>Utente</cp:lastModifiedBy>
  <cp:revision>12</cp:revision>
  <dcterms:created xsi:type="dcterms:W3CDTF">2020-03-25T08:22:00Z</dcterms:created>
  <dcterms:modified xsi:type="dcterms:W3CDTF">2020-03-25T08:40:00Z</dcterms:modified>
</cp:coreProperties>
</file>